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D1C" w:rsidRDefault="002F0D1C" w:rsidP="002F0D1C">
      <w:pPr>
        <w:autoSpaceDE w:val="0"/>
        <w:autoSpaceDN w:val="0"/>
        <w:adjustRightInd w:val="0"/>
        <w:jc w:val="center"/>
        <w:rPr>
          <w:rFonts w:eastAsia="TimesNewRoman,Bold"/>
          <w:b/>
          <w:bCs/>
          <w:sz w:val="28"/>
          <w:szCs w:val="28"/>
        </w:rPr>
      </w:pPr>
    </w:p>
    <w:p w:rsidR="0065030E" w:rsidRDefault="0065030E" w:rsidP="002F0D1C">
      <w:pPr>
        <w:autoSpaceDE w:val="0"/>
        <w:autoSpaceDN w:val="0"/>
        <w:adjustRightInd w:val="0"/>
        <w:jc w:val="center"/>
        <w:rPr>
          <w:rFonts w:eastAsia="TimesNewRoman,Bold"/>
          <w:b/>
          <w:bCs/>
          <w:sz w:val="28"/>
          <w:szCs w:val="28"/>
        </w:rPr>
      </w:pPr>
    </w:p>
    <w:p w:rsidR="0065030E" w:rsidRDefault="0065030E" w:rsidP="002F0D1C">
      <w:pPr>
        <w:autoSpaceDE w:val="0"/>
        <w:autoSpaceDN w:val="0"/>
        <w:adjustRightInd w:val="0"/>
        <w:jc w:val="center"/>
        <w:rPr>
          <w:rFonts w:eastAsia="TimesNewRoman,Bold"/>
          <w:b/>
          <w:bCs/>
          <w:sz w:val="28"/>
          <w:szCs w:val="28"/>
        </w:rPr>
      </w:pPr>
      <w:r w:rsidRPr="00FA2539">
        <w:rPr>
          <w:noProof/>
          <w:sz w:val="28"/>
          <w:szCs w:val="28"/>
        </w:rPr>
        <w:drawing>
          <wp:inline distT="0" distB="0" distL="0" distR="0">
            <wp:extent cx="1343025" cy="914400"/>
            <wp:effectExtent l="0" t="0" r="9525" b="0"/>
            <wp:docPr id="2" name="Рисунок 2" descr="D:\бэкап\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бэкап\11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914400"/>
                    </a:xfrm>
                    <a:prstGeom prst="rect">
                      <a:avLst/>
                    </a:prstGeom>
                    <a:noFill/>
                    <a:ln>
                      <a:noFill/>
                    </a:ln>
                  </pic:spPr>
                </pic:pic>
              </a:graphicData>
            </a:graphic>
          </wp:inline>
        </w:drawing>
      </w:r>
    </w:p>
    <w:p w:rsidR="00B56346" w:rsidRPr="009D3F08" w:rsidRDefault="00B56346" w:rsidP="002F0D1C">
      <w:pPr>
        <w:autoSpaceDE w:val="0"/>
        <w:autoSpaceDN w:val="0"/>
        <w:adjustRightInd w:val="0"/>
        <w:jc w:val="center"/>
        <w:rPr>
          <w:rFonts w:eastAsia="TimesNewRoman,Bold"/>
          <w:b/>
          <w:bCs/>
          <w:sz w:val="28"/>
          <w:szCs w:val="28"/>
        </w:rPr>
      </w:pPr>
    </w:p>
    <w:p w:rsidR="0065030E" w:rsidRDefault="00840FF0" w:rsidP="002F0D1C">
      <w:pPr>
        <w:autoSpaceDE w:val="0"/>
        <w:autoSpaceDN w:val="0"/>
        <w:adjustRightInd w:val="0"/>
        <w:jc w:val="center"/>
        <w:rPr>
          <w:rFonts w:eastAsia="TimesNewRoman,Bold"/>
          <w:b/>
          <w:bCs/>
          <w:sz w:val="28"/>
          <w:szCs w:val="28"/>
        </w:rPr>
      </w:pPr>
      <w:r>
        <w:rPr>
          <w:rFonts w:eastAsia="TimesNewRoman,Bold"/>
          <w:b/>
          <w:bCs/>
          <w:sz w:val="28"/>
          <w:szCs w:val="28"/>
        </w:rPr>
        <w:t xml:space="preserve">ТЕРРИТОРИАЛЬНАЯ </w:t>
      </w:r>
      <w:r w:rsidR="005828A4" w:rsidRPr="009D3F08">
        <w:rPr>
          <w:rFonts w:eastAsia="TimesNewRoman,Bold"/>
          <w:b/>
          <w:bCs/>
          <w:sz w:val="28"/>
          <w:szCs w:val="28"/>
        </w:rPr>
        <w:t xml:space="preserve">ИЗБИРАТЕЛЬНАЯ КОМИССИЯ </w:t>
      </w:r>
    </w:p>
    <w:p w:rsidR="002F0D1C" w:rsidRPr="009D3F08" w:rsidRDefault="0065030E" w:rsidP="002F0D1C">
      <w:pPr>
        <w:autoSpaceDE w:val="0"/>
        <w:autoSpaceDN w:val="0"/>
        <w:adjustRightInd w:val="0"/>
        <w:jc w:val="center"/>
        <w:rPr>
          <w:rFonts w:eastAsia="TimesNewRoman,Bold"/>
          <w:b/>
          <w:bCs/>
          <w:sz w:val="28"/>
          <w:szCs w:val="28"/>
        </w:rPr>
      </w:pPr>
      <w:bookmarkStart w:id="0" w:name="_GoBack"/>
      <w:bookmarkEnd w:id="0"/>
      <w:proofErr w:type="gramStart"/>
      <w:r>
        <w:rPr>
          <w:rFonts w:eastAsia="TimesNewRoman,Bold"/>
          <w:b/>
          <w:bCs/>
          <w:sz w:val="28"/>
          <w:szCs w:val="28"/>
        </w:rPr>
        <w:t>ГОРОДА  АРМЯНСКА</w:t>
      </w:r>
      <w:r w:rsidR="005828A4" w:rsidRPr="009D3F08">
        <w:rPr>
          <w:rFonts w:eastAsia="TimesNewRoman,Bold"/>
          <w:b/>
          <w:bCs/>
          <w:sz w:val="28"/>
          <w:szCs w:val="28"/>
        </w:rPr>
        <w:t>РЕСПУБЛИКИ</w:t>
      </w:r>
      <w:proofErr w:type="gramEnd"/>
      <w:r w:rsidR="005828A4" w:rsidRPr="009D3F08">
        <w:rPr>
          <w:rFonts w:eastAsia="TimesNewRoman,Bold"/>
          <w:b/>
          <w:bCs/>
          <w:sz w:val="28"/>
          <w:szCs w:val="28"/>
        </w:rPr>
        <w:t xml:space="preserve"> КРЫМ</w:t>
      </w:r>
    </w:p>
    <w:p w:rsidR="005828A4" w:rsidRPr="009D3F08" w:rsidRDefault="005828A4" w:rsidP="002F0D1C">
      <w:pPr>
        <w:autoSpaceDE w:val="0"/>
        <w:autoSpaceDN w:val="0"/>
        <w:adjustRightInd w:val="0"/>
        <w:jc w:val="center"/>
        <w:rPr>
          <w:rFonts w:eastAsia="TimesNewRoman,Bold"/>
          <w:b/>
          <w:bCs/>
          <w:sz w:val="28"/>
          <w:szCs w:val="28"/>
        </w:rPr>
      </w:pPr>
    </w:p>
    <w:p w:rsidR="005828A4" w:rsidRPr="009D3F08" w:rsidRDefault="005828A4" w:rsidP="002F0D1C">
      <w:pPr>
        <w:autoSpaceDE w:val="0"/>
        <w:autoSpaceDN w:val="0"/>
        <w:adjustRightInd w:val="0"/>
        <w:jc w:val="center"/>
        <w:rPr>
          <w:rFonts w:eastAsia="TimesNewRoman,Bold"/>
          <w:b/>
          <w:bCs/>
          <w:sz w:val="28"/>
          <w:szCs w:val="28"/>
        </w:rPr>
      </w:pPr>
      <w:r w:rsidRPr="009D3F08">
        <w:rPr>
          <w:rFonts w:eastAsia="TimesNewRoman,Bold"/>
          <w:b/>
          <w:bCs/>
          <w:sz w:val="28"/>
          <w:szCs w:val="28"/>
        </w:rPr>
        <w:t>И Н Ф О Р М И Р У Е Т</w:t>
      </w:r>
    </w:p>
    <w:p w:rsidR="002F0D1C" w:rsidRPr="009D3F08" w:rsidRDefault="002F0D1C" w:rsidP="00DB42AF">
      <w:pPr>
        <w:autoSpaceDE w:val="0"/>
        <w:autoSpaceDN w:val="0"/>
        <w:adjustRightInd w:val="0"/>
        <w:spacing w:line="360" w:lineRule="auto"/>
        <w:jc w:val="center"/>
        <w:rPr>
          <w:rFonts w:eastAsia="TimesNewRoman,Bold"/>
          <w:b/>
          <w:bCs/>
          <w:sz w:val="28"/>
          <w:szCs w:val="28"/>
        </w:rPr>
      </w:pPr>
    </w:p>
    <w:p w:rsidR="0026424E" w:rsidRPr="00DB42AF" w:rsidRDefault="0026424E" w:rsidP="00DB42AF">
      <w:pPr>
        <w:autoSpaceDE w:val="0"/>
        <w:autoSpaceDN w:val="0"/>
        <w:adjustRightInd w:val="0"/>
        <w:spacing w:line="360" w:lineRule="auto"/>
        <w:jc w:val="center"/>
        <w:rPr>
          <w:rFonts w:eastAsia="TimesNewRoman,Bold"/>
          <w:b/>
          <w:bCs/>
          <w:color w:val="000000" w:themeColor="text1"/>
          <w:sz w:val="28"/>
          <w:szCs w:val="28"/>
        </w:rPr>
      </w:pPr>
      <w:r w:rsidRPr="00DB42AF">
        <w:rPr>
          <w:rFonts w:eastAsia="TimesNewRoman,Bold"/>
          <w:b/>
          <w:bCs/>
          <w:color w:val="000000" w:themeColor="text1"/>
          <w:sz w:val="28"/>
          <w:szCs w:val="28"/>
        </w:rPr>
        <w:t>ВЫБОРЫ ДЕПУТАТОВ ГОСУДАРСТВЕННОЙ ДУМЫ</w:t>
      </w:r>
    </w:p>
    <w:p w:rsidR="0026424E" w:rsidRPr="00DB42AF" w:rsidRDefault="0026424E" w:rsidP="00DB42AF">
      <w:pPr>
        <w:autoSpaceDE w:val="0"/>
        <w:autoSpaceDN w:val="0"/>
        <w:adjustRightInd w:val="0"/>
        <w:spacing w:line="360" w:lineRule="auto"/>
        <w:jc w:val="center"/>
        <w:rPr>
          <w:rFonts w:eastAsia="TimesNewRoman,Bold"/>
          <w:b/>
          <w:bCs/>
          <w:color w:val="000000" w:themeColor="text1"/>
          <w:sz w:val="28"/>
          <w:szCs w:val="28"/>
        </w:rPr>
      </w:pPr>
      <w:r w:rsidRPr="00DB42AF">
        <w:rPr>
          <w:rFonts w:eastAsia="TimesNewRoman,Bold"/>
          <w:b/>
          <w:bCs/>
          <w:color w:val="000000" w:themeColor="text1"/>
          <w:sz w:val="28"/>
          <w:szCs w:val="28"/>
        </w:rPr>
        <w:t>ФЕДЕРАЛЬНОГО СОБРАНИЯ РОССИЙСКОЙ ФЕДЕРАЦИИ</w:t>
      </w:r>
    </w:p>
    <w:p w:rsidR="0026424E" w:rsidRPr="00DB42AF" w:rsidRDefault="0026424E" w:rsidP="00DB42AF">
      <w:pPr>
        <w:autoSpaceDE w:val="0"/>
        <w:autoSpaceDN w:val="0"/>
        <w:adjustRightInd w:val="0"/>
        <w:spacing w:line="360" w:lineRule="auto"/>
        <w:jc w:val="center"/>
        <w:rPr>
          <w:rFonts w:eastAsia="TimesNewRoman,Bold"/>
          <w:b/>
          <w:bCs/>
          <w:color w:val="000000" w:themeColor="text1"/>
          <w:sz w:val="28"/>
          <w:szCs w:val="28"/>
        </w:rPr>
      </w:pPr>
      <w:r w:rsidRPr="00DB42AF">
        <w:rPr>
          <w:rFonts w:eastAsia="TimesNewRoman"/>
          <w:b/>
          <w:bCs/>
          <w:color w:val="000000" w:themeColor="text1"/>
          <w:sz w:val="28"/>
          <w:szCs w:val="28"/>
        </w:rPr>
        <w:t xml:space="preserve">18 </w:t>
      </w:r>
      <w:r w:rsidRPr="00DB42AF">
        <w:rPr>
          <w:rFonts w:eastAsia="TimesNewRoman,Bold"/>
          <w:b/>
          <w:bCs/>
          <w:color w:val="000000" w:themeColor="text1"/>
          <w:sz w:val="28"/>
          <w:szCs w:val="28"/>
        </w:rPr>
        <w:t xml:space="preserve">сентября </w:t>
      </w:r>
      <w:r w:rsidRPr="00DB42AF">
        <w:rPr>
          <w:rFonts w:eastAsia="TimesNewRoman"/>
          <w:b/>
          <w:bCs/>
          <w:color w:val="000000" w:themeColor="text1"/>
          <w:sz w:val="28"/>
          <w:szCs w:val="28"/>
        </w:rPr>
        <w:t xml:space="preserve">2016 </w:t>
      </w:r>
      <w:r w:rsidRPr="00DB42AF">
        <w:rPr>
          <w:rFonts w:eastAsia="TimesNewRoman,Bold"/>
          <w:b/>
          <w:bCs/>
          <w:color w:val="000000" w:themeColor="text1"/>
          <w:sz w:val="28"/>
          <w:szCs w:val="28"/>
        </w:rPr>
        <w:t>года</w:t>
      </w:r>
    </w:p>
    <w:p w:rsidR="002A7D5C" w:rsidRPr="009D3F08" w:rsidRDefault="002A7D5C" w:rsidP="0026424E">
      <w:pPr>
        <w:autoSpaceDE w:val="0"/>
        <w:autoSpaceDN w:val="0"/>
        <w:adjustRightInd w:val="0"/>
        <w:jc w:val="center"/>
        <w:rPr>
          <w:rFonts w:eastAsia="TimesNewRoman,Bold"/>
          <w:b/>
          <w:bCs/>
          <w:sz w:val="28"/>
          <w:szCs w:val="28"/>
        </w:rPr>
      </w:pPr>
    </w:p>
    <w:p w:rsidR="00021D85" w:rsidRPr="009D3F08" w:rsidRDefault="008F5428" w:rsidP="008F5428">
      <w:pPr>
        <w:jc w:val="center"/>
        <w:rPr>
          <w:rFonts w:eastAsia="TimesNewRoman"/>
          <w:b/>
          <w:bCs/>
          <w:sz w:val="28"/>
          <w:szCs w:val="28"/>
        </w:rPr>
      </w:pPr>
      <w:r w:rsidRPr="009D3F08">
        <w:rPr>
          <w:rFonts w:eastAsia="TimesNewRoman"/>
          <w:b/>
          <w:bCs/>
          <w:sz w:val="28"/>
          <w:szCs w:val="28"/>
        </w:rPr>
        <w:t>Уважаемые избиратели!</w:t>
      </w:r>
    </w:p>
    <w:p w:rsidR="00855F77" w:rsidRPr="00855F77" w:rsidRDefault="00855F77" w:rsidP="008F5428">
      <w:pPr>
        <w:jc w:val="center"/>
        <w:rPr>
          <w:rFonts w:eastAsia="TimesNewRoman"/>
          <w:b/>
          <w:bCs/>
          <w:sz w:val="26"/>
          <w:szCs w:val="26"/>
        </w:rPr>
      </w:pPr>
    </w:p>
    <w:p w:rsidR="008F5428" w:rsidRPr="009D3F08" w:rsidRDefault="008F5428" w:rsidP="00DB42AF">
      <w:pPr>
        <w:spacing w:line="360" w:lineRule="auto"/>
        <w:ind w:firstLine="709"/>
        <w:jc w:val="both"/>
        <w:rPr>
          <w:rFonts w:eastAsia="TimesNewRoman"/>
          <w:bCs/>
          <w:sz w:val="28"/>
          <w:szCs w:val="28"/>
        </w:rPr>
      </w:pPr>
      <w:r w:rsidRPr="009D3F08">
        <w:rPr>
          <w:rFonts w:eastAsia="TimesNewRoman"/>
          <w:bCs/>
          <w:sz w:val="28"/>
          <w:szCs w:val="28"/>
        </w:rPr>
        <w:t>18 сентября гражданам Российской Федерации предстоит избрать новый, уже седьмой состав Государственной Думы Федерального Собрания Российской Федерации. Этот день важен для всех россиян, он во многом определит дальнейшую судьбу нашей страны. От работы депутатского корпуса Государственной Думы</w:t>
      </w:r>
      <w:r w:rsidR="00855F77" w:rsidRPr="009D3F08">
        <w:rPr>
          <w:rFonts w:eastAsia="TimesNewRoman"/>
          <w:bCs/>
          <w:sz w:val="28"/>
          <w:szCs w:val="28"/>
        </w:rPr>
        <w:t xml:space="preserve"> Федерального Собрания Российской Федерации</w:t>
      </w:r>
      <w:r w:rsidRPr="009D3F08">
        <w:rPr>
          <w:rFonts w:eastAsia="TimesNewRoman"/>
          <w:bCs/>
          <w:sz w:val="28"/>
          <w:szCs w:val="28"/>
        </w:rPr>
        <w:t xml:space="preserve"> зависит, как будет развиваться государство, какими будут законы, по которым предстоит жить.</w:t>
      </w:r>
    </w:p>
    <w:p w:rsidR="008F5428" w:rsidRPr="009D3F08" w:rsidRDefault="008F5428" w:rsidP="00DB42AF">
      <w:pPr>
        <w:spacing w:line="360" w:lineRule="auto"/>
        <w:ind w:firstLine="709"/>
        <w:jc w:val="both"/>
        <w:rPr>
          <w:rFonts w:eastAsia="TimesNewRoman"/>
          <w:b/>
          <w:bCs/>
          <w:sz w:val="28"/>
          <w:szCs w:val="28"/>
        </w:rPr>
      </w:pPr>
      <w:r w:rsidRPr="009D3F08">
        <w:rPr>
          <w:rFonts w:eastAsia="TimesNewRoman"/>
          <w:b/>
          <w:bCs/>
          <w:sz w:val="28"/>
          <w:szCs w:val="28"/>
        </w:rPr>
        <w:t>Государственная Дума Федерального Собрания Российской Федерации обладает широким спектром полномочий:</w:t>
      </w:r>
    </w:p>
    <w:p w:rsidR="009D3F08" w:rsidRPr="009D3F08" w:rsidRDefault="009D3F08" w:rsidP="00DB42AF">
      <w:pPr>
        <w:pStyle w:val="a4"/>
        <w:numPr>
          <w:ilvl w:val="0"/>
          <w:numId w:val="1"/>
        </w:numPr>
        <w:spacing w:line="360" w:lineRule="auto"/>
        <w:jc w:val="both"/>
        <w:rPr>
          <w:sz w:val="28"/>
          <w:szCs w:val="28"/>
        </w:rPr>
      </w:pPr>
      <w:r w:rsidRPr="009D3F08">
        <w:rPr>
          <w:sz w:val="28"/>
          <w:szCs w:val="28"/>
        </w:rPr>
        <w:t>принимает федеральные законы;</w:t>
      </w:r>
    </w:p>
    <w:p w:rsidR="009D3F08" w:rsidRPr="009D3F08" w:rsidRDefault="009D3F08" w:rsidP="00DB42AF">
      <w:pPr>
        <w:pStyle w:val="a4"/>
        <w:numPr>
          <w:ilvl w:val="0"/>
          <w:numId w:val="1"/>
        </w:numPr>
        <w:spacing w:line="360" w:lineRule="auto"/>
        <w:jc w:val="both"/>
        <w:rPr>
          <w:sz w:val="28"/>
          <w:szCs w:val="28"/>
        </w:rPr>
      </w:pPr>
      <w:r w:rsidRPr="009D3F08">
        <w:rPr>
          <w:sz w:val="28"/>
          <w:szCs w:val="28"/>
        </w:rPr>
        <w:t>дает согласие Президенту Российской Федерации на назначение Председателя Правительства Российской Федерации;</w:t>
      </w:r>
    </w:p>
    <w:p w:rsidR="009D3F08" w:rsidRPr="009D3F08" w:rsidRDefault="009D3F08" w:rsidP="00DB42AF">
      <w:pPr>
        <w:pStyle w:val="a4"/>
        <w:numPr>
          <w:ilvl w:val="0"/>
          <w:numId w:val="1"/>
        </w:numPr>
        <w:spacing w:line="360" w:lineRule="auto"/>
        <w:jc w:val="both"/>
        <w:rPr>
          <w:sz w:val="28"/>
          <w:szCs w:val="28"/>
        </w:rPr>
      </w:pPr>
      <w:r w:rsidRPr="009D3F08">
        <w:rPr>
          <w:sz w:val="28"/>
          <w:szCs w:val="28"/>
        </w:rPr>
        <w:t>решает вопрос о доверии Правительству Российской Федерации;</w:t>
      </w:r>
    </w:p>
    <w:p w:rsidR="009D3F08" w:rsidRPr="009D3F08" w:rsidRDefault="009D3F08" w:rsidP="00DB42AF">
      <w:pPr>
        <w:pStyle w:val="a4"/>
        <w:numPr>
          <w:ilvl w:val="0"/>
          <w:numId w:val="1"/>
        </w:numPr>
        <w:spacing w:line="360" w:lineRule="auto"/>
        <w:jc w:val="both"/>
        <w:rPr>
          <w:sz w:val="28"/>
          <w:szCs w:val="28"/>
        </w:rPr>
      </w:pPr>
      <w:r w:rsidRPr="009D3F08">
        <w:rPr>
          <w:sz w:val="28"/>
          <w:szCs w:val="28"/>
        </w:rPr>
        <w:t xml:space="preserve">заслушивает ежегодные отчеты Правительства Российской Федерации о результатах его деятельности, в том числе по вопросам, поставленным </w:t>
      </w:r>
      <w:r w:rsidRPr="009D3F08">
        <w:rPr>
          <w:rFonts w:eastAsia="TimesNewRoman"/>
          <w:bCs/>
          <w:sz w:val="28"/>
          <w:szCs w:val="28"/>
        </w:rPr>
        <w:t>Государственной Думой Федерального Собрания Российской Федерации</w:t>
      </w:r>
      <w:r w:rsidRPr="009D3F08">
        <w:rPr>
          <w:sz w:val="28"/>
          <w:szCs w:val="28"/>
        </w:rPr>
        <w:t>;</w:t>
      </w:r>
    </w:p>
    <w:p w:rsidR="009D3F08" w:rsidRPr="009D3F08" w:rsidRDefault="009D3F08" w:rsidP="00DB42AF">
      <w:pPr>
        <w:pStyle w:val="a4"/>
        <w:numPr>
          <w:ilvl w:val="0"/>
          <w:numId w:val="1"/>
        </w:numPr>
        <w:spacing w:line="360" w:lineRule="auto"/>
        <w:jc w:val="both"/>
        <w:rPr>
          <w:sz w:val="28"/>
          <w:szCs w:val="28"/>
        </w:rPr>
      </w:pPr>
      <w:r w:rsidRPr="009D3F08">
        <w:rPr>
          <w:sz w:val="28"/>
          <w:szCs w:val="28"/>
        </w:rPr>
        <w:t>назначает на должность и освобождает от должности Председателя Центрального банка России;</w:t>
      </w:r>
    </w:p>
    <w:p w:rsidR="009D3F08" w:rsidRPr="009D3F08" w:rsidRDefault="009D3F08" w:rsidP="00DB42AF">
      <w:pPr>
        <w:pStyle w:val="a4"/>
        <w:numPr>
          <w:ilvl w:val="0"/>
          <w:numId w:val="1"/>
        </w:numPr>
        <w:spacing w:line="360" w:lineRule="auto"/>
        <w:jc w:val="both"/>
        <w:rPr>
          <w:sz w:val="28"/>
          <w:szCs w:val="28"/>
        </w:rPr>
      </w:pPr>
      <w:r w:rsidRPr="009D3F08">
        <w:rPr>
          <w:sz w:val="28"/>
          <w:szCs w:val="28"/>
        </w:rPr>
        <w:t>назначает на должность и освобождает от должности Председателя Счетной палаты Российской Федерации и половину состава ее аудиторов;</w:t>
      </w:r>
    </w:p>
    <w:p w:rsidR="009D3F08" w:rsidRPr="009D3F08" w:rsidRDefault="009D3F08" w:rsidP="00DB42AF">
      <w:pPr>
        <w:pStyle w:val="a4"/>
        <w:numPr>
          <w:ilvl w:val="0"/>
          <w:numId w:val="1"/>
        </w:numPr>
        <w:spacing w:line="360" w:lineRule="auto"/>
        <w:jc w:val="both"/>
        <w:rPr>
          <w:sz w:val="28"/>
          <w:szCs w:val="28"/>
        </w:rPr>
      </w:pPr>
      <w:r w:rsidRPr="009D3F08">
        <w:rPr>
          <w:sz w:val="28"/>
          <w:szCs w:val="28"/>
        </w:rPr>
        <w:lastRenderedPageBreak/>
        <w:t>назначает и освобождает от должности Уполномоченного по правам человека, действующего в соответствии с федеральными конституционными законами;</w:t>
      </w:r>
    </w:p>
    <w:p w:rsidR="009D3F08" w:rsidRPr="009D3F08" w:rsidRDefault="009D3F08" w:rsidP="00DB42AF">
      <w:pPr>
        <w:pStyle w:val="a4"/>
        <w:numPr>
          <w:ilvl w:val="0"/>
          <w:numId w:val="1"/>
        </w:numPr>
        <w:spacing w:line="360" w:lineRule="auto"/>
        <w:jc w:val="both"/>
        <w:rPr>
          <w:sz w:val="28"/>
          <w:szCs w:val="28"/>
        </w:rPr>
      </w:pPr>
      <w:r w:rsidRPr="009D3F08">
        <w:rPr>
          <w:sz w:val="28"/>
          <w:szCs w:val="28"/>
        </w:rPr>
        <w:t xml:space="preserve">объявление амнистии; </w:t>
      </w:r>
    </w:p>
    <w:p w:rsidR="009D3F08" w:rsidRPr="009D3F08" w:rsidRDefault="009D3F08" w:rsidP="00DB42AF">
      <w:pPr>
        <w:pStyle w:val="a4"/>
        <w:numPr>
          <w:ilvl w:val="0"/>
          <w:numId w:val="1"/>
        </w:numPr>
        <w:spacing w:line="360" w:lineRule="auto"/>
        <w:jc w:val="both"/>
        <w:rPr>
          <w:sz w:val="28"/>
          <w:szCs w:val="28"/>
        </w:rPr>
      </w:pPr>
      <w:r w:rsidRPr="009D3F08">
        <w:rPr>
          <w:sz w:val="28"/>
          <w:szCs w:val="28"/>
        </w:rPr>
        <w:t>выдвижение обвинения против Президента Российской Федерации для отрешения его от должности</w:t>
      </w:r>
    </w:p>
    <w:p w:rsidR="009D3F08" w:rsidRPr="009D3F08" w:rsidRDefault="009D3F08" w:rsidP="00DB42AF">
      <w:pPr>
        <w:spacing w:line="360" w:lineRule="auto"/>
        <w:ind w:firstLine="709"/>
        <w:jc w:val="both"/>
        <w:rPr>
          <w:sz w:val="28"/>
          <w:szCs w:val="28"/>
        </w:rPr>
      </w:pPr>
      <w:r w:rsidRPr="009D3F08">
        <w:rPr>
          <w:sz w:val="28"/>
          <w:szCs w:val="28"/>
        </w:rPr>
        <w:t xml:space="preserve">Также в ведении Государственной Думы Федерального </w:t>
      </w:r>
      <w:r w:rsidR="006F7791">
        <w:rPr>
          <w:sz w:val="28"/>
          <w:szCs w:val="28"/>
        </w:rPr>
        <w:t>С</w:t>
      </w:r>
      <w:r w:rsidRPr="009D3F08">
        <w:rPr>
          <w:sz w:val="28"/>
          <w:szCs w:val="28"/>
        </w:rPr>
        <w:t xml:space="preserve">обрания Российской Федерации находятся международная деятельность, иные важнейшие вопросы государственного значения. </w:t>
      </w:r>
    </w:p>
    <w:p w:rsidR="007E2738" w:rsidRPr="009D3F08" w:rsidRDefault="007E2738" w:rsidP="00DB42AF">
      <w:pPr>
        <w:spacing w:line="360" w:lineRule="auto"/>
        <w:ind w:firstLine="709"/>
        <w:jc w:val="both"/>
        <w:rPr>
          <w:sz w:val="28"/>
          <w:szCs w:val="28"/>
        </w:rPr>
      </w:pPr>
      <w:r w:rsidRPr="009D3F08">
        <w:rPr>
          <w:sz w:val="28"/>
          <w:szCs w:val="28"/>
        </w:rPr>
        <w:t xml:space="preserve">Согласно </w:t>
      </w:r>
      <w:r w:rsidR="00AC0E8C" w:rsidRPr="009D3F08">
        <w:rPr>
          <w:sz w:val="28"/>
          <w:szCs w:val="28"/>
        </w:rPr>
        <w:t>Конституции Российской Федерации,</w:t>
      </w:r>
      <w:r w:rsidR="00644F3B" w:rsidRPr="009D3F08">
        <w:rPr>
          <w:sz w:val="28"/>
          <w:szCs w:val="28"/>
        </w:rPr>
        <w:t xml:space="preserve"> Государственная Дума Федерального Собрания Российской Федерации состоит из </w:t>
      </w:r>
      <w:r w:rsidRPr="009D3F08">
        <w:rPr>
          <w:sz w:val="28"/>
          <w:szCs w:val="28"/>
        </w:rPr>
        <w:t>450 депутатов.</w:t>
      </w:r>
    </w:p>
    <w:p w:rsidR="007E33FC" w:rsidRPr="009D3F08" w:rsidRDefault="007E2738" w:rsidP="00DB42AF">
      <w:pPr>
        <w:spacing w:line="360" w:lineRule="auto"/>
        <w:ind w:firstLine="709"/>
        <w:jc w:val="both"/>
        <w:rPr>
          <w:sz w:val="28"/>
          <w:szCs w:val="28"/>
        </w:rPr>
      </w:pPr>
      <w:r w:rsidRPr="009D3F08">
        <w:rPr>
          <w:sz w:val="28"/>
          <w:szCs w:val="28"/>
        </w:rPr>
        <w:t xml:space="preserve">225 депутатов </w:t>
      </w:r>
      <w:r w:rsidR="00AC0E8C" w:rsidRPr="009D3F08">
        <w:rPr>
          <w:rFonts w:eastAsia="TimesNewRoman"/>
          <w:bCs/>
          <w:sz w:val="28"/>
          <w:szCs w:val="28"/>
        </w:rPr>
        <w:t>Государственной Думы</w:t>
      </w:r>
      <w:r w:rsidR="00A37F82" w:rsidRPr="009D3F08">
        <w:rPr>
          <w:rFonts w:eastAsia="TimesNewRoman"/>
          <w:bCs/>
          <w:sz w:val="28"/>
          <w:szCs w:val="28"/>
        </w:rPr>
        <w:t xml:space="preserve"> Федерального Собрания Российской Федерации </w:t>
      </w:r>
      <w:r w:rsidRPr="009D3F08">
        <w:rPr>
          <w:sz w:val="28"/>
          <w:szCs w:val="28"/>
        </w:rPr>
        <w:t>избираются по одномандатным избирательным округам (один округ один депутат), образованным на основе единой нормы представительства избирателей, определяемой путем деления общего числа избирателей, зарегистрированных</w:t>
      </w:r>
      <w:r w:rsidR="00FF50FE" w:rsidRPr="009D3F08">
        <w:rPr>
          <w:sz w:val="28"/>
          <w:szCs w:val="28"/>
        </w:rPr>
        <w:t xml:space="preserve"> в Российской Федерации,</w:t>
      </w:r>
      <w:r w:rsidR="007E33FC" w:rsidRPr="009D3F08">
        <w:rPr>
          <w:sz w:val="28"/>
          <w:szCs w:val="28"/>
        </w:rPr>
        <w:t xml:space="preserve"> на общее число одномандатных избирательных округов.</w:t>
      </w:r>
      <w:r w:rsidR="00FF50FE" w:rsidRPr="009D3F08">
        <w:rPr>
          <w:sz w:val="28"/>
          <w:szCs w:val="28"/>
        </w:rPr>
        <w:t xml:space="preserve"> </w:t>
      </w:r>
    </w:p>
    <w:p w:rsidR="000D583D" w:rsidRPr="009D3F08" w:rsidRDefault="007E33FC" w:rsidP="00DB42AF">
      <w:pPr>
        <w:spacing w:line="360" w:lineRule="auto"/>
        <w:ind w:firstLine="709"/>
        <w:jc w:val="both"/>
        <w:rPr>
          <w:sz w:val="28"/>
          <w:szCs w:val="28"/>
        </w:rPr>
      </w:pPr>
      <w:r w:rsidRPr="009D3F08">
        <w:rPr>
          <w:sz w:val="28"/>
          <w:szCs w:val="28"/>
        </w:rPr>
        <w:t xml:space="preserve">225 депутатов </w:t>
      </w:r>
      <w:r w:rsidR="00AC0E8C" w:rsidRPr="009D3F08">
        <w:rPr>
          <w:rFonts w:eastAsia="TimesNewRoman"/>
          <w:bCs/>
          <w:sz w:val="28"/>
          <w:szCs w:val="28"/>
        </w:rPr>
        <w:t>Государственной</w:t>
      </w:r>
      <w:r w:rsidR="00A37F82" w:rsidRPr="009D3F08">
        <w:rPr>
          <w:rFonts w:eastAsia="TimesNewRoman"/>
          <w:bCs/>
          <w:sz w:val="28"/>
          <w:szCs w:val="28"/>
        </w:rPr>
        <w:t xml:space="preserve"> Дум</w:t>
      </w:r>
      <w:r w:rsidR="00AC0E8C" w:rsidRPr="009D3F08">
        <w:rPr>
          <w:rFonts w:eastAsia="TimesNewRoman"/>
          <w:bCs/>
          <w:sz w:val="28"/>
          <w:szCs w:val="28"/>
        </w:rPr>
        <w:t>ы</w:t>
      </w:r>
      <w:r w:rsidR="00A37F82" w:rsidRPr="009D3F08">
        <w:rPr>
          <w:rFonts w:eastAsia="TimesNewRoman"/>
          <w:bCs/>
          <w:sz w:val="28"/>
          <w:szCs w:val="28"/>
        </w:rPr>
        <w:t xml:space="preserve"> Федерального Собрания Российской Федерации </w:t>
      </w:r>
      <w:r w:rsidRPr="009D3F08">
        <w:rPr>
          <w:sz w:val="28"/>
          <w:szCs w:val="28"/>
        </w:rPr>
        <w:t>избираются по федеральному избирательному округу пропорционально числу голосов избирателей, поданных за федеральные списки кандидатов в депутаты Государственной Думы</w:t>
      </w:r>
      <w:r w:rsidR="000D583D" w:rsidRPr="009D3F08">
        <w:rPr>
          <w:sz w:val="28"/>
          <w:szCs w:val="28"/>
        </w:rPr>
        <w:t>.</w:t>
      </w:r>
    </w:p>
    <w:p w:rsidR="008F5428" w:rsidRPr="009D3F08" w:rsidRDefault="00A37F82" w:rsidP="00DB42AF">
      <w:pPr>
        <w:spacing w:line="360" w:lineRule="auto"/>
        <w:ind w:firstLine="709"/>
        <w:jc w:val="both"/>
        <w:rPr>
          <w:sz w:val="28"/>
          <w:szCs w:val="28"/>
        </w:rPr>
      </w:pPr>
      <w:r w:rsidRPr="009D3F08">
        <w:rPr>
          <w:rFonts w:eastAsia="TimesNewRoman"/>
          <w:bCs/>
          <w:sz w:val="28"/>
          <w:szCs w:val="28"/>
        </w:rPr>
        <w:t xml:space="preserve">Государственная Дума Федерального Собрания Российской Федерации избирается сроком на </w:t>
      </w:r>
      <w:r w:rsidR="007E2738" w:rsidRPr="009D3F08">
        <w:rPr>
          <w:sz w:val="28"/>
          <w:szCs w:val="28"/>
        </w:rPr>
        <w:t xml:space="preserve">пять лет.   </w:t>
      </w:r>
      <w:r w:rsidR="008F5428" w:rsidRPr="009D3F08">
        <w:rPr>
          <w:sz w:val="28"/>
          <w:szCs w:val="28"/>
        </w:rPr>
        <w:t xml:space="preserve">  </w:t>
      </w:r>
    </w:p>
    <w:p w:rsidR="007E1032" w:rsidRDefault="00A37F82" w:rsidP="00DB42AF">
      <w:pPr>
        <w:spacing w:line="360" w:lineRule="auto"/>
        <w:ind w:firstLine="709"/>
        <w:jc w:val="both"/>
        <w:rPr>
          <w:rFonts w:eastAsia="TimesNewRoman"/>
          <w:bCs/>
          <w:sz w:val="28"/>
          <w:szCs w:val="28"/>
        </w:rPr>
      </w:pPr>
      <w:r w:rsidRPr="009D3F08">
        <w:rPr>
          <w:sz w:val="28"/>
          <w:szCs w:val="28"/>
        </w:rPr>
        <w:t xml:space="preserve">Депутатом </w:t>
      </w:r>
      <w:r w:rsidRPr="009D3F08">
        <w:rPr>
          <w:rFonts w:eastAsia="TimesNewRoman"/>
          <w:bCs/>
          <w:sz w:val="28"/>
          <w:szCs w:val="28"/>
        </w:rPr>
        <w:t xml:space="preserve">Государственной Думы Федерального Собрания Российской Федерации может быть избран гражданин Российской Федерации, достигший 21 года и имеющий право участвовать в выборах. </w:t>
      </w:r>
    </w:p>
    <w:p w:rsidR="00EB6F99" w:rsidRDefault="00EB6F99" w:rsidP="00DB42AF">
      <w:pPr>
        <w:spacing w:line="360" w:lineRule="auto"/>
        <w:ind w:firstLine="709"/>
        <w:jc w:val="both"/>
        <w:rPr>
          <w:rFonts w:eastAsia="TimesNewRoman"/>
          <w:bCs/>
          <w:sz w:val="28"/>
          <w:szCs w:val="28"/>
        </w:rPr>
      </w:pPr>
    </w:p>
    <w:p w:rsidR="00EB6F99" w:rsidRPr="002F5C08" w:rsidRDefault="00EB6F99" w:rsidP="00DB42AF">
      <w:pPr>
        <w:pStyle w:val="a5"/>
        <w:spacing w:line="360" w:lineRule="auto"/>
        <w:ind w:firstLine="567"/>
        <w:jc w:val="center"/>
        <w:rPr>
          <w:sz w:val="27"/>
          <w:szCs w:val="27"/>
        </w:rPr>
      </w:pPr>
      <w:r w:rsidRPr="002F5C08">
        <w:rPr>
          <w:b/>
          <w:sz w:val="27"/>
          <w:szCs w:val="27"/>
        </w:rPr>
        <w:t xml:space="preserve">Официальный сайт Избирательной комиссии Республики Крым </w:t>
      </w:r>
      <w:hyperlink r:id="rId6" w:history="1">
        <w:r w:rsidRPr="002F5C08">
          <w:rPr>
            <w:rStyle w:val="a3"/>
            <w:b/>
            <w:sz w:val="27"/>
            <w:szCs w:val="27"/>
            <w:lang w:val="en-US"/>
          </w:rPr>
          <w:t>www</w:t>
        </w:r>
        <w:r w:rsidRPr="002F5C08">
          <w:rPr>
            <w:rStyle w:val="a3"/>
            <w:b/>
            <w:sz w:val="27"/>
            <w:szCs w:val="27"/>
          </w:rPr>
          <w:t>.crimea.izbirkom.ru</w:t>
        </w:r>
      </w:hyperlink>
      <w:r w:rsidRPr="002F5C08">
        <w:rPr>
          <w:b/>
          <w:color w:val="2F5496" w:themeColor="accent5" w:themeShade="BF"/>
          <w:sz w:val="27"/>
          <w:szCs w:val="27"/>
        </w:rPr>
        <w:t xml:space="preserve"> </w:t>
      </w:r>
    </w:p>
    <w:p w:rsidR="00EB6F99" w:rsidRPr="009D3F08" w:rsidRDefault="00EB6F99" w:rsidP="00DB42AF">
      <w:pPr>
        <w:spacing w:line="360" w:lineRule="auto"/>
        <w:ind w:firstLine="709"/>
        <w:jc w:val="both"/>
        <w:rPr>
          <w:sz w:val="28"/>
          <w:szCs w:val="28"/>
        </w:rPr>
      </w:pPr>
    </w:p>
    <w:sectPr w:rsidR="00EB6F99" w:rsidRPr="009D3F08" w:rsidSect="00C511F6">
      <w:type w:val="continuous"/>
      <w:pgSz w:w="11907" w:h="16840" w:code="9"/>
      <w:pgMar w:top="284" w:right="567" w:bottom="284" w:left="1701" w:header="720" w:footer="720" w:gutter="0"/>
      <w:cols w:space="708"/>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872F7"/>
    <w:multiLevelType w:val="hybridMultilevel"/>
    <w:tmpl w:val="97A4F216"/>
    <w:lvl w:ilvl="0" w:tplc="0419000D">
      <w:start w:val="1"/>
      <w:numFmt w:val="bullet"/>
      <w:lvlText w:val=""/>
      <w:lvlJc w:val="left"/>
      <w:pPr>
        <w:ind w:left="856" w:hanging="360"/>
      </w:pPr>
      <w:rPr>
        <w:rFonts w:ascii="Wingdings" w:hAnsi="Wingdings"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1C"/>
    <w:rsid w:val="00021D85"/>
    <w:rsid w:val="000D583D"/>
    <w:rsid w:val="0022511F"/>
    <w:rsid w:val="0026424E"/>
    <w:rsid w:val="002A7D5C"/>
    <w:rsid w:val="002F0D1C"/>
    <w:rsid w:val="003619C3"/>
    <w:rsid w:val="003D0E56"/>
    <w:rsid w:val="004027C7"/>
    <w:rsid w:val="004F0533"/>
    <w:rsid w:val="005828A4"/>
    <w:rsid w:val="005966BF"/>
    <w:rsid w:val="00644F3B"/>
    <w:rsid w:val="0065030E"/>
    <w:rsid w:val="006F7791"/>
    <w:rsid w:val="007E1032"/>
    <w:rsid w:val="007E2738"/>
    <w:rsid w:val="007E33FC"/>
    <w:rsid w:val="00840FF0"/>
    <w:rsid w:val="00855F77"/>
    <w:rsid w:val="008E5C18"/>
    <w:rsid w:val="008F5428"/>
    <w:rsid w:val="009A4902"/>
    <w:rsid w:val="009D3F08"/>
    <w:rsid w:val="009F7CB1"/>
    <w:rsid w:val="00A37F82"/>
    <w:rsid w:val="00AC0E8C"/>
    <w:rsid w:val="00AC6AB2"/>
    <w:rsid w:val="00B56346"/>
    <w:rsid w:val="00C511F6"/>
    <w:rsid w:val="00C7308D"/>
    <w:rsid w:val="00CA4AD8"/>
    <w:rsid w:val="00CE7D7F"/>
    <w:rsid w:val="00DB42AF"/>
    <w:rsid w:val="00DC4C5C"/>
    <w:rsid w:val="00EB6F99"/>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97417-70FC-4662-A69B-4247CDDD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D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4902"/>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B56346"/>
    <w:rPr>
      <w:color w:val="0563C1" w:themeColor="hyperlink"/>
      <w:u w:val="single"/>
    </w:rPr>
  </w:style>
  <w:style w:type="paragraph" w:styleId="a4">
    <w:name w:val="List Paragraph"/>
    <w:basedOn w:val="a"/>
    <w:uiPriority w:val="34"/>
    <w:qFormat/>
    <w:rsid w:val="008F5428"/>
    <w:pPr>
      <w:ind w:left="720"/>
      <w:contextualSpacing/>
    </w:pPr>
  </w:style>
  <w:style w:type="paragraph" w:styleId="a5">
    <w:name w:val="No Spacing"/>
    <w:uiPriority w:val="1"/>
    <w:qFormat/>
    <w:rsid w:val="00EB6F9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imea.izbirkom.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2016-07-26T11:50:00Z</dcterms:created>
  <dcterms:modified xsi:type="dcterms:W3CDTF">2016-07-26T11:50:00Z</dcterms:modified>
</cp:coreProperties>
</file>